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color w:val="000000"/>
          <w:sz w:val="24"/>
        </w:rPr>
        <w:t>缠论中枢使用说明：</w:t>
      </w:r>
    </w:p>
    <w:p w:rsidR="00CE0AE1" w:rsidRPr="006B53C8" w:rsidRDefault="00CE0AE1" w:rsidP="006B53C8">
      <w:pPr>
        <w:spacing w:line="238" w:lineRule="atLeast"/>
        <w:ind w:firstLineChars="200" w:firstLine="480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color w:val="000000"/>
          <w:sz w:val="24"/>
        </w:rPr>
        <w:t>因随着大家对缠论的更多了解和掌握，我们的程序也日渐成熟和完善，为了使大家更好的运用和掌握使用方法，现做一说明：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ind w:firstLine="560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1、如何对</w:t>
      </w:r>
      <w:r w:rsidRPr="006B53C8">
        <w:rPr>
          <w:rFonts w:ascii="微软雅黑" w:eastAsia="微软雅黑" w:hAnsi="微软雅黑" w:cs="Times New Roman" w:hint="eastAsia"/>
          <w:color w:val="000000"/>
        </w:rPr>
        <w:t>[</w:t>
      </w:r>
      <w:r w:rsidRPr="006B53C8">
        <w:rPr>
          <w:rFonts w:ascii="微软雅黑" w:eastAsia="微软雅黑" w:hAnsi="微软雅黑" w:hint="eastAsia"/>
          <w:color w:val="000000"/>
        </w:rPr>
        <w:t>大</w:t>
      </w:r>
      <w:r w:rsidRPr="006B53C8">
        <w:rPr>
          <w:rFonts w:ascii="微软雅黑" w:eastAsia="微软雅黑" w:hAnsi="微软雅黑" w:cs="Times New Roman" w:hint="eastAsia"/>
          <w:color w:val="000000"/>
        </w:rPr>
        <w:t>1</w:t>
      </w:r>
      <w:r w:rsidRPr="006B53C8">
        <w:rPr>
          <w:rFonts w:ascii="微软雅黑" w:eastAsia="微软雅黑" w:hAnsi="微软雅黑" w:hint="eastAsia"/>
          <w:color w:val="000000"/>
        </w:rPr>
        <w:t>买</w:t>
      </w:r>
      <w:r w:rsidRPr="006B53C8">
        <w:rPr>
          <w:rFonts w:ascii="微软雅黑" w:eastAsia="微软雅黑" w:hAnsi="微软雅黑" w:cs="Times New Roman" w:hint="eastAsia"/>
          <w:color w:val="000000"/>
        </w:rPr>
        <w:t>]</w:t>
      </w:r>
      <w:r w:rsidRPr="006B53C8">
        <w:rPr>
          <w:rFonts w:ascii="微软雅黑" w:eastAsia="微软雅黑" w:hAnsi="微软雅黑" w:hint="eastAsia"/>
          <w:color w:val="000000"/>
        </w:rPr>
        <w:t>和</w:t>
      </w:r>
      <w:r w:rsidRPr="006B53C8">
        <w:rPr>
          <w:rFonts w:ascii="微软雅黑" w:eastAsia="微软雅黑" w:hAnsi="微软雅黑" w:cs="Times New Roman" w:hint="eastAsia"/>
          <w:color w:val="000000"/>
        </w:rPr>
        <w:t>[</w:t>
      </w:r>
      <w:r w:rsidRPr="006B53C8">
        <w:rPr>
          <w:rFonts w:ascii="微软雅黑" w:eastAsia="微软雅黑" w:hAnsi="微软雅黑" w:hint="eastAsia"/>
          <w:color w:val="000000"/>
        </w:rPr>
        <w:t>大一卖</w:t>
      </w:r>
      <w:r w:rsidRPr="006B53C8">
        <w:rPr>
          <w:rFonts w:ascii="微软雅黑" w:eastAsia="微软雅黑" w:hAnsi="微软雅黑" w:cs="Times New Roman" w:hint="eastAsia"/>
          <w:color w:val="000000"/>
        </w:rPr>
        <w:t>]</w:t>
      </w:r>
      <w:r w:rsidRPr="006B53C8">
        <w:rPr>
          <w:rFonts w:ascii="微软雅黑" w:eastAsia="微软雅黑" w:hAnsi="微软雅黑" w:hint="eastAsia"/>
          <w:color w:val="000000"/>
        </w:rPr>
        <w:t>的分辨；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drawing>
          <wp:inline distT="0" distB="0" distL="0" distR="0">
            <wp:extent cx="6475234" cy="2772410"/>
            <wp:effectExtent l="0" t="0" r="0" b="0"/>
            <wp:docPr id="1" name="图片 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图片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133" cy="2775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C8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 w:hint="eastAsia"/>
          <w:bCs/>
          <w:color w:val="800000"/>
        </w:rPr>
      </w:pPr>
      <w:r w:rsidRPr="006B53C8">
        <w:rPr>
          <w:rFonts w:ascii="微软雅黑" w:eastAsia="微软雅黑" w:hAnsi="微软雅黑" w:hint="eastAsia"/>
          <w:color w:val="000000"/>
        </w:rPr>
        <w:t>【图</w:t>
      </w:r>
      <w:r w:rsidRPr="006B53C8">
        <w:rPr>
          <w:rFonts w:ascii="微软雅黑" w:eastAsia="微软雅黑" w:hAnsi="微软雅黑" w:cs="Times New Roman" w:hint="eastAsia"/>
          <w:color w:val="000000"/>
        </w:rPr>
        <w:t>1</w:t>
      </w:r>
      <w:r w:rsidRPr="006B53C8">
        <w:rPr>
          <w:rFonts w:ascii="微软雅黑" w:eastAsia="微软雅黑" w:hAnsi="微软雅黑" w:hint="eastAsia"/>
          <w:color w:val="000000"/>
        </w:rPr>
        <w:t>】说明：</w:t>
      </w:r>
      <w:r w:rsidRPr="006B53C8">
        <w:rPr>
          <w:rFonts w:ascii="微软雅黑" w:eastAsia="微软雅黑" w:hAnsi="微软雅黑" w:hint="eastAsia"/>
          <w:bCs/>
          <w:color w:val="800000"/>
        </w:rPr>
        <w:t>这是一个日线级别的上涨和下跌走势；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红色是日线级别：上涨线段；绿色是日线级别：下跌线段；分别用两个颜色加以区分；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drawing>
          <wp:inline distT="0" distB="0" distL="0" distR="0">
            <wp:extent cx="6464073" cy="3429362"/>
            <wp:effectExtent l="0" t="0" r="0" b="0"/>
            <wp:docPr id="2" name="图片 2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图片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187" cy="3435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color w:val="000000"/>
          <w:sz w:val="24"/>
        </w:rPr>
        <w:t>【图2】</w:t>
      </w:r>
      <w:r w:rsidRPr="006B53C8">
        <w:rPr>
          <w:rFonts w:ascii="微软雅黑" w:eastAsia="微软雅黑" w:hAnsi="微软雅黑" w:hint="eastAsia"/>
          <w:bCs/>
          <w:color w:val="000000"/>
          <w:sz w:val="24"/>
        </w:rPr>
        <w:t>说明</w:t>
      </w:r>
      <w:r w:rsidRPr="006B53C8">
        <w:rPr>
          <w:rFonts w:ascii="微软雅黑" w:eastAsia="微软雅黑" w:hAnsi="微软雅黑" w:hint="eastAsia"/>
          <w:color w:val="000000"/>
          <w:sz w:val="24"/>
        </w:rPr>
        <w:t>：</w:t>
      </w:r>
      <w:r w:rsidRPr="006B53C8">
        <w:rPr>
          <w:rFonts w:ascii="微软雅黑" w:eastAsia="微软雅黑" w:hAnsi="微软雅黑" w:hint="eastAsia"/>
          <w:bCs/>
          <w:color w:val="800000"/>
          <w:sz w:val="24"/>
        </w:rPr>
        <w:t>此图为该级别的上涨趋势（红色线段连接段）;此线段也为上一级别的上涨一笔；</w:t>
      </w:r>
      <w:r w:rsidRPr="006B53C8">
        <w:rPr>
          <w:rFonts w:ascii="微软雅黑" w:eastAsia="微软雅黑" w:hAnsi="微软雅黑" w:hint="eastAsia"/>
          <w:bCs/>
          <w:color w:val="800000"/>
          <w:sz w:val="24"/>
        </w:rPr>
        <w:lastRenderedPageBreak/>
        <w:t>此线段在未被终结前，不连线，大家注意；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   </w:t>
      </w:r>
      <w:r w:rsidRPr="006B53C8">
        <w:rPr>
          <w:rFonts w:ascii="微软雅黑" w:eastAsia="微软雅黑" w:hAnsi="微软雅黑" w:hint="eastAsia"/>
          <w:bCs/>
          <w:color w:val="800000"/>
        </w:rPr>
        <w:t>由于下跌趋势的背驰，导致下跌趋势翻转；此时底部产生的[一买],在该级别我们称做：[大1买]（为便于区分）详见右图；</w:t>
      </w:r>
    </w:p>
    <w:p w:rsid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bCs/>
          <w:color w:val="800000"/>
        </w:rPr>
      </w:pPr>
      <w:r w:rsidRPr="006B53C8">
        <w:rPr>
          <w:rFonts w:ascii="微软雅黑" w:eastAsia="微软雅黑" w:hAnsi="微软雅黑"/>
          <w:noProof/>
          <w:color w:val="000000"/>
        </w:rPr>
        <w:drawing>
          <wp:inline distT="0" distB="0" distL="0" distR="0">
            <wp:extent cx="2305050" cy="2137951"/>
            <wp:effectExtent l="0" t="0" r="0" b="0"/>
            <wp:docPr id="3" name="图片 3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图片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493" cy="2142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53C8">
        <w:rPr>
          <w:rFonts w:ascii="微软雅黑" w:eastAsia="微软雅黑" w:hAnsi="微软雅黑"/>
          <w:noProof/>
          <w:color w:val="000000"/>
        </w:rPr>
        <w:drawing>
          <wp:inline distT="0" distB="0" distL="0" distR="0">
            <wp:extent cx="2219325" cy="2148052"/>
            <wp:effectExtent l="0" t="0" r="0" b="0"/>
            <wp:docPr id="4" name="图片 4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图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570" cy="215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[大1买]:由一根阳线确认的底分型（盘中即时提示，但当大盘急速下跌，该股也急速下跌，此时[大1买]会在盘中消失，从新出现底分型，这个[大1买]也会向下移动，此处需要自己多方面认证辅助[MACD]等加以研判；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该趋势完成后，即红色线段产生连线，在高位产生[一卖]，为便于在图中区分，我们称之为该级别的[一卖]为[大1卖]见右图；盘中即时提示，但当该股也急速拉升时，此时[大1卖]会在盘中消失，从新确认顶分型，此处需要自己多方面认证辅助[MACD]等加以研判；右图即为顶分型后又一个顶分型出现，这个[大1卖]也会移动；</w:t>
      </w:r>
    </w:p>
    <w:p w:rsid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lastRenderedPageBreak/>
        <w:drawing>
          <wp:inline distT="0" distB="0" distL="0" distR="0">
            <wp:extent cx="6457950" cy="3514354"/>
            <wp:effectExtent l="0" t="0" r="0" b="0"/>
            <wp:docPr id="5" name="图片 5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图片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00" cy="3525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color w:val="000000"/>
          <w:sz w:val="24"/>
        </w:rPr>
        <w:t>【图3】说明：</w:t>
      </w:r>
      <w:r w:rsidRPr="006B53C8">
        <w:rPr>
          <w:rFonts w:ascii="微软雅黑" w:eastAsia="微软雅黑" w:hAnsi="微软雅黑" w:hint="eastAsia"/>
          <w:bCs/>
          <w:color w:val="800000"/>
          <w:sz w:val="24"/>
        </w:rPr>
        <w:t>此图为该级别的下跌走势（绿色线段连接段），此线段也为上一级别的下跌一笔;此线段在未被终结前，不连线，大家注意；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bCs/>
          <w:color w:val="800000"/>
          <w:sz w:val="24"/>
        </w:rPr>
        <w:t>       此线段的高点为[大1卖]，低点为[大1买]，需要看图2说明，不在一一陈述；但值得着重阐述的是下跌趋势下的[二买]——[跌二买];为了引起大家的注意，我在此处编注了[跌二买],顾名思义为下跌的二买（即急跌后反弹的二买），此处不建议买入，那么产生跌二卖一定就有跌二卖；不论跌二买，跌二卖产生在什么级别上，都是短暂反弹，大家此处一定注意；</w:t>
      </w:r>
      <w:r w:rsidRPr="006B53C8">
        <w:rPr>
          <w:rFonts w:ascii="微软雅黑" w:eastAsia="微软雅黑" w:hAnsi="微软雅黑" w:hint="eastAsia"/>
          <w:bCs/>
          <w:color w:val="800000"/>
          <w:sz w:val="24"/>
        </w:rPr>
        <w:br/>
      </w:r>
      <w:r w:rsidR="006B53C8" w:rsidRPr="006B53C8">
        <w:rPr>
          <w:rFonts w:ascii="微软雅黑" w:eastAsia="微软雅黑" w:hAnsi="微软雅黑"/>
          <w:noProof/>
          <w:color w:val="000000"/>
          <w:sz w:val="24"/>
        </w:rPr>
        <w:drawing>
          <wp:inline distT="0" distB="0" distL="0" distR="0" wp14:anchorId="040AA8C8" wp14:editId="27F9BD6D">
            <wp:extent cx="6479540" cy="3311833"/>
            <wp:effectExtent l="0" t="0" r="0" b="0"/>
            <wp:docPr id="6" name="图片 6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图片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311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53C8">
        <w:rPr>
          <w:rFonts w:ascii="微软雅黑" w:eastAsia="微软雅黑" w:hAnsi="微软雅黑" w:hint="eastAsia"/>
          <w:bCs/>
          <w:color w:val="800000"/>
          <w:sz w:val="24"/>
        </w:rPr>
        <w:br/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二、如何对</w:t>
      </w:r>
      <w:r w:rsidRPr="006B53C8">
        <w:rPr>
          <w:rFonts w:ascii="微软雅黑" w:eastAsia="微软雅黑" w:hAnsi="微软雅黑" w:cs="Times New Roman" w:hint="eastAsia"/>
          <w:color w:val="000000"/>
        </w:rPr>
        <w:t>[</w:t>
      </w:r>
      <w:r w:rsidRPr="006B53C8">
        <w:rPr>
          <w:rFonts w:ascii="微软雅黑" w:eastAsia="微软雅黑" w:hAnsi="微软雅黑" w:hint="eastAsia"/>
          <w:color w:val="000000"/>
        </w:rPr>
        <w:t>二买</w:t>
      </w:r>
      <w:r w:rsidRPr="006B53C8">
        <w:rPr>
          <w:rFonts w:ascii="微软雅黑" w:eastAsia="微软雅黑" w:hAnsi="微软雅黑" w:cs="Times New Roman" w:hint="eastAsia"/>
          <w:color w:val="000000"/>
        </w:rPr>
        <w:t>]</w:t>
      </w:r>
      <w:r w:rsidRPr="006B53C8">
        <w:rPr>
          <w:rFonts w:ascii="微软雅黑" w:eastAsia="微软雅黑" w:hAnsi="微软雅黑" w:hint="eastAsia"/>
          <w:color w:val="000000"/>
        </w:rPr>
        <w:t>与</w:t>
      </w:r>
      <w:r w:rsidRPr="006B53C8">
        <w:rPr>
          <w:rFonts w:ascii="微软雅黑" w:eastAsia="微软雅黑" w:hAnsi="微软雅黑" w:cs="Times New Roman" w:hint="eastAsia"/>
          <w:color w:val="000000"/>
        </w:rPr>
        <w:t>[</w:t>
      </w:r>
      <w:r w:rsidRPr="006B53C8">
        <w:rPr>
          <w:rFonts w:ascii="微软雅黑" w:eastAsia="微软雅黑" w:hAnsi="微软雅黑" w:hint="eastAsia"/>
          <w:color w:val="000000"/>
        </w:rPr>
        <w:t>二卖</w:t>
      </w:r>
      <w:r w:rsidRPr="006B53C8">
        <w:rPr>
          <w:rFonts w:ascii="微软雅黑" w:eastAsia="微软雅黑" w:hAnsi="微软雅黑" w:cs="Times New Roman" w:hint="eastAsia"/>
          <w:color w:val="000000"/>
        </w:rPr>
        <w:t>]</w:t>
      </w:r>
      <w:r w:rsidRPr="006B53C8">
        <w:rPr>
          <w:rFonts w:ascii="微软雅黑" w:eastAsia="微软雅黑" w:hAnsi="微软雅黑" w:hint="eastAsia"/>
          <w:color w:val="000000"/>
        </w:rPr>
        <w:t>的分辨：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【图</w:t>
      </w:r>
      <w:r w:rsidRPr="006B53C8">
        <w:rPr>
          <w:rFonts w:ascii="微软雅黑" w:eastAsia="微软雅黑" w:hAnsi="微软雅黑" w:cs="Times New Roman" w:hint="eastAsia"/>
          <w:color w:val="000000"/>
        </w:rPr>
        <w:t>4</w:t>
      </w:r>
      <w:r w:rsidRPr="006B53C8">
        <w:rPr>
          <w:rFonts w:ascii="微软雅黑" w:eastAsia="微软雅黑" w:hAnsi="微软雅黑" w:hint="eastAsia"/>
          <w:color w:val="000000"/>
        </w:rPr>
        <w:t>】说明：</w:t>
      </w:r>
      <w:r w:rsidRPr="006B53C8">
        <w:rPr>
          <w:rFonts w:ascii="微软雅黑" w:eastAsia="微软雅黑" w:hAnsi="微软雅黑" w:hint="eastAsia"/>
          <w:bCs/>
          <w:color w:val="800000"/>
        </w:rPr>
        <w:t>此图为上涨中枢（用紫色表示），为大家区分我在上涨中枢上的[二买] 、[二卖]、分别用大二买]、[大二卖]表示；他们分别都出现在中枢上下；详见下图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/>
          <w:noProof/>
          <w:color w:val="000000"/>
        </w:rPr>
        <w:drawing>
          <wp:inline distT="0" distB="0" distL="0" distR="0">
            <wp:extent cx="5622594" cy="2853055"/>
            <wp:effectExtent l="0" t="0" r="0" b="0"/>
            <wp:docPr id="7" name="图片 7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图片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671" cy="2862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drawing>
          <wp:inline distT="0" distB="0" distL="0" distR="0">
            <wp:extent cx="5638800" cy="4144784"/>
            <wp:effectExtent l="0" t="0" r="0" b="0"/>
            <wp:docPr id="8" name="图片 8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图片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512" cy="4156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lastRenderedPageBreak/>
        <w:t>【图</w:t>
      </w:r>
      <w:r w:rsidRPr="006B53C8">
        <w:rPr>
          <w:rFonts w:ascii="微软雅黑" w:eastAsia="微软雅黑" w:hAnsi="微软雅黑" w:cs="Times New Roman" w:hint="eastAsia"/>
          <w:color w:val="000000"/>
        </w:rPr>
        <w:t>5</w:t>
      </w:r>
      <w:r w:rsidRPr="006B53C8">
        <w:rPr>
          <w:rFonts w:ascii="微软雅黑" w:eastAsia="微软雅黑" w:hAnsi="微软雅黑" w:hint="eastAsia"/>
          <w:color w:val="000000"/>
        </w:rPr>
        <w:t>】说明：</w:t>
      </w:r>
      <w:r w:rsidRPr="006B53C8">
        <w:rPr>
          <w:rFonts w:ascii="微软雅黑" w:eastAsia="微软雅黑" w:hAnsi="微软雅黑" w:hint="eastAsia"/>
          <w:bCs/>
          <w:color w:val="800000"/>
        </w:rPr>
        <w:t>此图为下跌中枢（用绿色表示）；为大家好区分我在下跌中枢上的[二买] 、[二卖]、分别用[跌二买]、[跌二卖]表示；他们也分别都出现在下跌中枢上下；详见右图：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drawing>
          <wp:inline distT="0" distB="0" distL="0" distR="0">
            <wp:extent cx="6368771" cy="2576830"/>
            <wp:effectExtent l="0" t="0" r="0" b="0"/>
            <wp:docPr id="9" name="图片 9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图片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905" cy="2577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三、关于[小一买]，[小一卖]等细说：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FF0000"/>
        </w:rPr>
        <w:t>需要特别说明的是：日线级别以上看见的所有带[小1买]、[小2买] 、[小3买 ]、[小1卖]、[小2卖]、[小3卖]；都是该级别的次级别的买卖点；不在本级别中使用；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如图：</w:t>
      </w:r>
    </w:p>
    <w:p w:rsidR="00CE0AE1" w:rsidRPr="006B53C8" w:rsidRDefault="00CE0AE1" w:rsidP="00CE0AE1">
      <w:pPr>
        <w:pStyle w:val="a5"/>
        <w:spacing w:before="0" w:beforeAutospacing="0" w:after="24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/>
          <w:noProof/>
          <w:color w:val="000000"/>
        </w:rPr>
        <w:drawing>
          <wp:inline distT="0" distB="0" distL="0" distR="0">
            <wp:extent cx="2007870" cy="2584450"/>
            <wp:effectExtent l="19050" t="0" r="0" b="0"/>
            <wp:docPr id="10" name="图片 10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图片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258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53C8">
        <w:rPr>
          <w:rFonts w:ascii="微软雅黑" w:eastAsia="微软雅黑" w:hAnsi="微软雅黑"/>
          <w:noProof/>
          <w:color w:val="000000"/>
        </w:rPr>
        <w:drawing>
          <wp:inline distT="0" distB="0" distL="0" distR="0">
            <wp:extent cx="1918335" cy="2614295"/>
            <wp:effectExtent l="19050" t="0" r="5715" b="0"/>
            <wp:docPr id="11" name="图片 1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图片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335" cy="261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53C8">
        <w:rPr>
          <w:rFonts w:ascii="微软雅黑" w:eastAsia="微软雅黑" w:hAnsi="微软雅黑"/>
          <w:noProof/>
          <w:color w:val="000000"/>
        </w:rPr>
        <w:drawing>
          <wp:inline distT="0" distB="0" distL="0" distR="0">
            <wp:extent cx="1948180" cy="2047240"/>
            <wp:effectExtent l="19050" t="0" r="0" b="0"/>
            <wp:docPr id="12" name="图片 12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图片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204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53C8">
        <w:rPr>
          <w:rFonts w:ascii="微软雅黑" w:eastAsia="微软雅黑" w:hAnsi="微软雅黑" w:hint="eastAsia"/>
          <w:color w:val="000000"/>
        </w:rPr>
        <w:br/>
      </w:r>
    </w:p>
    <w:p w:rsidR="00CE0AE1" w:rsidRPr="006B53C8" w:rsidRDefault="00CE0AE1" w:rsidP="006B53C8">
      <w:pPr>
        <w:pStyle w:val="a5"/>
        <w:spacing w:before="0" w:beforeAutospacing="0" w:after="24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/>
          <w:noProof/>
          <w:color w:val="000000"/>
        </w:rPr>
        <w:lastRenderedPageBreak/>
        <w:drawing>
          <wp:inline distT="0" distB="0" distL="0" distR="0">
            <wp:extent cx="2872105" cy="2574290"/>
            <wp:effectExtent l="19050" t="0" r="4445" b="0"/>
            <wp:docPr id="13" name="图片 13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图片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05" cy="257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53C8">
        <w:rPr>
          <w:rFonts w:ascii="微软雅黑" w:eastAsia="微软雅黑" w:hAnsi="微软雅黑" w:hint="eastAsia"/>
          <w:color w:val="000000"/>
        </w:rPr>
        <w:t> 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color w:val="000000"/>
          <w:sz w:val="24"/>
        </w:rPr>
        <w:t>四、顶底分型的在分辨：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1、顶分型：用绿色线框编注，见右图；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drawing>
          <wp:inline distT="0" distB="0" distL="0" distR="0">
            <wp:extent cx="904240" cy="1888490"/>
            <wp:effectExtent l="19050" t="0" r="0" b="0"/>
            <wp:docPr id="14" name="图片 14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图片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188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值得说明的是顶分型出现还会出现，所谓顶了还顶，下一个顶分型的出现替代了前一个顶分型，以最后一个顶分型而确定笔（或线段）的转折，这里就有顶分型的中继和成笔之分，此处一定要利用停顿法加以研判；</w:t>
      </w:r>
      <w:r w:rsidRPr="006B53C8">
        <w:rPr>
          <w:rFonts w:ascii="微软雅黑" w:eastAsia="微软雅黑" w:hAnsi="微软雅黑" w:hint="eastAsia"/>
          <w:color w:val="000000"/>
        </w:rPr>
        <w:br/>
        <w:t> 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2、底分型：用黄色线框编注，见右图；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值得说明的是底分型出现也会底了又底，也会在下一个底分型的出现替代了前一个底分型，以最后一个底分型而确定笔（或线段）的转折；这里尤其要说明的就是底分型的中继和成笔之分，此处一定要利用停顿法加以研判，以免买早了被套，也可以利用小级别加以研判；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color w:val="000000"/>
          <w:sz w:val="24"/>
        </w:rPr>
        <w:lastRenderedPageBreak/>
        <w:t> </w:t>
      </w:r>
      <w:r w:rsidRPr="006B53C8">
        <w:rPr>
          <w:rFonts w:ascii="微软雅黑" w:eastAsia="微软雅黑" w:hAnsi="微软雅黑"/>
          <w:noProof/>
          <w:color w:val="000000"/>
          <w:sz w:val="24"/>
        </w:rPr>
        <w:drawing>
          <wp:inline distT="0" distB="0" distL="0" distR="0">
            <wp:extent cx="1143000" cy="2040922"/>
            <wp:effectExtent l="0" t="0" r="0" b="0"/>
            <wp:docPr id="15" name="图片 15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图片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064" cy="2048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color w:val="000000"/>
          <w:sz w:val="24"/>
        </w:rPr>
        <w:t>五．关于包含说明：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 </w:t>
      </w:r>
      <w:r w:rsidRPr="006B53C8">
        <w:rPr>
          <w:rFonts w:ascii="微软雅黑" w:eastAsia="微软雅黑" w:hAnsi="微软雅黑" w:hint="eastAsia"/>
          <w:bCs/>
          <w:color w:val="000000"/>
        </w:rPr>
        <w:t> </w:t>
      </w:r>
      <w:r w:rsidRPr="006B53C8">
        <w:rPr>
          <w:rFonts w:ascii="微软雅黑" w:eastAsia="微软雅黑" w:hAnsi="微软雅黑" w:hint="eastAsia"/>
          <w:bCs/>
          <w:color w:val="800000"/>
        </w:rPr>
        <w:t>此程序只对顶、底分型前的第一个进行了包含处理，因程序的未连续性，对处理后的所有包含关系均未作处理，在此说明，另因输入的设计条件决定的，对打横笔够5根K线均做了一笔，此处有及个别地方不精准，但不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构成整体趋势的研判，特此说明；另有个人地方的买卖点不精准，也请自我研判，上述地方都不对整体买卖点构成影响；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详见图例；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drawing>
          <wp:inline distT="0" distB="0" distL="0" distR="0">
            <wp:extent cx="1758950" cy="1948180"/>
            <wp:effectExtent l="19050" t="0" r="0" b="0"/>
            <wp:docPr id="16" name="图片 16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图片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94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6B53C8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 </w:t>
      </w:r>
      <w:r w:rsidR="00CE0AE1" w:rsidRPr="006B53C8">
        <w:rPr>
          <w:rFonts w:ascii="微软雅黑" w:eastAsia="微软雅黑" w:hAnsi="微软雅黑" w:hint="eastAsia"/>
          <w:bCs/>
          <w:color w:val="000000"/>
        </w:rPr>
        <w:t>（前包含处理）</w:t>
      </w:r>
      <w:r w:rsidR="00CE0AE1" w:rsidRPr="006B53C8">
        <w:rPr>
          <w:rFonts w:ascii="微软雅黑" w:eastAsia="微软雅黑" w:hAnsi="微软雅黑" w:hint="eastAsia"/>
          <w:color w:val="000000"/>
        </w:rPr>
        <w:t>  </w:t>
      </w:r>
    </w:p>
    <w:p w:rsid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/>
          <w:noProof/>
          <w:color w:val="000000"/>
        </w:rPr>
        <w:lastRenderedPageBreak/>
        <w:drawing>
          <wp:inline distT="0" distB="0" distL="0" distR="0">
            <wp:extent cx="1848485" cy="2484755"/>
            <wp:effectExtent l="19050" t="0" r="0" b="0"/>
            <wp:docPr id="17" name="图片 17" descr="dN*Cceu*IAAA&amp;ek=1&amp;kp=1&amp;pt=0&amp;bo=wgAFAQAAAAABAOE!&amp;t=5&amp;su=0241446417&amp;sce=0-12-12&amp;rf=2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N*Cceu*IAAA&amp;ek=1&amp;kp=1&amp;pt=0&amp;bo=wgAFAQAAAAABAOE!&amp;t=5&amp;su=0241446417&amp;sce=0-12-12&amp;rf=2-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248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53C8">
        <w:rPr>
          <w:rFonts w:ascii="微软雅黑" w:eastAsia="微软雅黑" w:hAnsi="微软雅黑" w:hint="eastAsia"/>
          <w:color w:val="000000"/>
        </w:rPr>
        <w:br/>
        <w:t> </w:t>
      </w:r>
      <w:r w:rsidRPr="006B53C8">
        <w:rPr>
          <w:rFonts w:ascii="微软雅黑" w:eastAsia="微软雅黑" w:hAnsi="微软雅黑" w:hint="eastAsia"/>
          <w:bCs/>
          <w:color w:val="000000"/>
        </w:rPr>
        <w:t>（前包含处理、后包含未处理）</w:t>
      </w:r>
      <w:r w:rsidRPr="006B53C8">
        <w:rPr>
          <w:rFonts w:ascii="微软雅黑" w:eastAsia="微软雅黑" w:hAnsi="微软雅黑" w:hint="eastAsia"/>
          <w:bCs/>
          <w:color w:val="000000"/>
        </w:rPr>
        <w:br/>
      </w:r>
      <w:r w:rsidRPr="006B53C8">
        <w:rPr>
          <w:rFonts w:ascii="微软雅黑" w:eastAsia="微软雅黑" w:hAnsi="微软雅黑" w:hint="eastAsia"/>
          <w:bCs/>
          <w:color w:val="000000"/>
        </w:rPr>
        <w:br/>
      </w:r>
      <w:r w:rsidRPr="006B53C8">
        <w:rPr>
          <w:rFonts w:ascii="微软雅黑" w:eastAsia="微软雅黑" w:hAnsi="微软雅黑" w:hint="eastAsia"/>
          <w:color w:val="000000"/>
        </w:rPr>
        <w:t> </w:t>
      </w:r>
      <w:r w:rsidRPr="006B53C8">
        <w:rPr>
          <w:rFonts w:ascii="微软雅黑" w:eastAsia="微软雅黑" w:hAnsi="微软雅黑"/>
          <w:noProof/>
          <w:color w:val="000000"/>
        </w:rPr>
        <w:drawing>
          <wp:inline distT="0" distB="0" distL="0" distR="0">
            <wp:extent cx="2892425" cy="2146935"/>
            <wp:effectExtent l="19050" t="0" r="3175" b="0"/>
            <wp:docPr id="18" name="图片 18" descr="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425" cy="214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53C8">
        <w:rPr>
          <w:rFonts w:ascii="微软雅黑" w:eastAsia="微软雅黑" w:hAnsi="微软雅黑" w:hint="eastAsia"/>
          <w:color w:val="000000"/>
        </w:rPr>
        <w:t>     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000000"/>
        </w:rPr>
        <w:t>对于前包含的几次处理（1）</w:t>
      </w:r>
    </w:p>
    <w:p w:rsid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/>
          <w:noProof/>
          <w:color w:val="000000"/>
        </w:rPr>
        <w:lastRenderedPageBreak/>
        <w:drawing>
          <wp:inline distT="0" distB="0" distL="0" distR="0">
            <wp:extent cx="4982210" cy="3711138"/>
            <wp:effectExtent l="0" t="0" r="0" b="0"/>
            <wp:docPr id="19" name="图片 19" descr="dNgprum1DwAA&amp;ek=1&amp;kp=1&amp;pt=0&amp;bo=XQLDAQAAAAABALo!&amp;t=5&amp;su=088883185&amp;sce=0-12-12&amp;rf=2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Ngprum1DwAA&amp;ek=1&amp;kp=1&amp;pt=0&amp;bo=XQLDAQAAAAABALo!&amp;t=5&amp;su=088883185&amp;sce=0-12-12&amp;rf=2-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200" cy="3717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53C8">
        <w:rPr>
          <w:rFonts w:ascii="微软雅黑" w:eastAsia="微软雅黑" w:hAnsi="微软雅黑" w:hint="eastAsia"/>
          <w:color w:val="000000"/>
        </w:rPr>
        <w:t xml:space="preserve">          </w:t>
      </w:r>
      <w:r w:rsidRPr="006B53C8">
        <w:rPr>
          <w:rFonts w:ascii="微软雅黑" w:eastAsia="微软雅黑" w:hAnsi="微软雅黑" w:hint="eastAsia"/>
          <w:color w:val="000000"/>
        </w:rPr>
        <w:t> </w:t>
      </w:r>
      <w:r w:rsidRPr="006B53C8">
        <w:rPr>
          <w:rFonts w:ascii="微软雅黑" w:eastAsia="微软雅黑" w:hAnsi="微软雅黑"/>
          <w:noProof/>
          <w:color w:val="000000"/>
        </w:rPr>
        <w:drawing>
          <wp:inline distT="0" distB="0" distL="0" distR="0">
            <wp:extent cx="4982832" cy="3373120"/>
            <wp:effectExtent l="0" t="0" r="0" b="0"/>
            <wp:docPr id="20" name="图片 20" descr="dIimFuynIwAA&amp;ek=1&amp;kp=1&amp;pt=0&amp;bo=XwKbAQAAAAABAOA!&amp;t=5&amp;su=0240232337&amp;sce=0-12-12&amp;rf=2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IimFuynIwAA&amp;ek=1&amp;kp=1&amp;pt=0&amp;bo=XwKbAQAAAAABAOA!&amp;t=5&amp;su=0240232337&amp;sce=0-12-12&amp;rf=2-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221" cy="3374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（1）1和2的包含处理见黄色框  ；    </w:t>
      </w:r>
    </w:p>
    <w:p w:rsid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（2）处理后在和3处理包含关系见绿色框 ；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lastRenderedPageBreak/>
        <w:t>（3）3和4的包含关系处理关系见紫色框，最后在图中表示白色框；               </w:t>
      </w:r>
      <w:r w:rsidRPr="006B53C8">
        <w:rPr>
          <w:rFonts w:ascii="微软雅黑" w:eastAsia="微软雅黑" w:hAnsi="微软雅黑" w:hint="eastAsia"/>
          <w:color w:val="000000"/>
        </w:rPr>
        <w:br/>
      </w:r>
      <w:r w:rsidRPr="006B53C8">
        <w:rPr>
          <w:rFonts w:ascii="微软雅黑" w:eastAsia="微软雅黑" w:hAnsi="微软雅黑"/>
          <w:bCs/>
          <w:noProof/>
          <w:color w:val="000000"/>
        </w:rPr>
        <w:drawing>
          <wp:inline distT="0" distB="0" distL="0" distR="0">
            <wp:extent cx="2027555" cy="2524760"/>
            <wp:effectExtent l="19050" t="0" r="0" b="0"/>
            <wp:docPr id="21" name="图片 21" descr="dCkmGOyDIgAA&amp;ek=1&amp;kp=1&amp;pt=0&amp;bo=1QAJAQAAAAABAPo!&amp;t=5&amp;su=0132177153&amp;sce=0-12-12&amp;rf=2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CkmGOyDIgAA&amp;ek=1&amp;kp=1&amp;pt=0&amp;bo=1QAJAQAAAAABAPo!&amp;t=5&amp;su=0132177153&amp;sce=0-12-12&amp;rf=2-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252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bCs/>
          <w:color w:val="000000"/>
          <w:sz w:val="24"/>
        </w:rPr>
        <w:t>  （此打横笔未做出理）</w:t>
      </w:r>
      <w:r w:rsidRPr="006B53C8">
        <w:rPr>
          <w:rFonts w:ascii="微软雅黑" w:eastAsia="微软雅黑" w:hAnsi="微软雅黑" w:hint="eastAsia"/>
          <w:color w:val="000000"/>
          <w:sz w:val="24"/>
        </w:rPr>
        <w:t>                                                                      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color w:val="000000"/>
          <w:sz w:val="24"/>
        </w:rPr>
        <w:t>  六、缠论各种顶、底分型案例说明: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drawing>
          <wp:inline distT="0" distB="0" distL="0" distR="0">
            <wp:extent cx="6526233" cy="4632177"/>
            <wp:effectExtent l="0" t="0" r="0" b="0"/>
            <wp:docPr id="22" name="图片 22" descr="dFiZrOlmDgAA&amp;ek=1&amp;kp=1&amp;pt=0&amp;bo=WANfAgAAAAABACE!&amp;t=5&amp;su=0212427425&amp;sce=0-12-12&amp;rf=2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FiZrOlmDgAA&amp;ek=1&amp;kp=1&amp;pt=0&amp;bo=WANfAgAAAAABACE!&amp;t=5&amp;su=0212427425&amp;sce=0-12-12&amp;rf=2-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294" cy="463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lastRenderedPageBreak/>
        <w:drawing>
          <wp:inline distT="0" distB="0" distL="0" distR="0">
            <wp:extent cx="6517748" cy="4696832"/>
            <wp:effectExtent l="0" t="0" r="0" b="0"/>
            <wp:docPr id="23" name="图片 23" descr="dJYREuyCIgAA&amp;ek=1&amp;kp=1&amp;pt=0&amp;bo=eAOAAgAAAAABAN4!&amp;t=5&amp;su=0187568033&amp;sce=0-12-12&amp;rf=2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JYREuyCIgAA&amp;ek=1&amp;kp=1&amp;pt=0&amp;bo=eAOAAgAAAAABAN4!&amp;t=5&amp;su=0187568033&amp;sce=0-12-12&amp;rf=2-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129" cy="4699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 w:hint="eastAsia"/>
          <w:bCs/>
          <w:color w:val="800000"/>
          <w:sz w:val="24"/>
        </w:rPr>
        <w:t>分型的操作依据：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分型形成后的两种结构：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一、成为中继型最终不延续成笔；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二、延续成笔。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    对于后一种，那是最理想的，例如在日线上操作完，就等着相反的分型出来再操作了，中间可以去宠幸别的面首，这是效率最高的。而对于第一种情况，前面说过，可以看是否有效突破5周期的均线，例如对日线上的顶分型，是否有效跌破5日均线，就是一个判断顶分型类似走势很好的操作依据。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    不过，还有更精确简单的，就是这分型所对应的小级别中枢里，是否出现第三类买卖点，而且其后是否出现中枢移动。例如，对于一个顶分型，该顶分型成立后，对于该分型区间在小级别里一定形成某级别的中枢，选择其中最大一个，例如日顶分型后，可以找到相应的5、1分钟中枢，一</w:t>
      </w:r>
      <w:r w:rsidRPr="006B53C8">
        <w:rPr>
          <w:rFonts w:ascii="微软雅黑" w:eastAsia="微软雅黑" w:hAnsi="微软雅黑" w:hint="eastAsia"/>
          <w:bCs/>
          <w:color w:val="800000"/>
        </w:rPr>
        <w:lastRenderedPageBreak/>
        <w:t>般最大的就是5分钟，30分钟没可能，因为时间不够。如果该5分钟中枢或1分钟中枢出现第三类卖点，并该卖点不形成中枢扩张的情形，那么几乎100%可以肯定，一定在日线上要出现笔了。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    可以100%肯定的，要不出现笔并最终有效破坏该顶分型，那一定要出现某级别的第三类买点，否则就算有短时间的新高，也一定是假突破。所以结合小级别的中枢判断，顶分型是否延伸为笔，是可以当下一目了然的。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    一般来说，可以把分型与小级别走势类型结合操作，例如日线与5分钟的。如果一个小级别的中枢震荡中连日K线都没出现顶分型结构，那么，这个中枢震荡就没必要走了，后者就算打短差也要控制好数量，因为，没有分型，就意味着走势没结束，随时新高，你急什么？而一旦顶分型成立，必然对应着小级别走势的第一、二类卖点，其后，关键看新形成中枢的第三类买卖点的问题：一般情况下，如果是中继的，都是第三类卖点后形成中枢扩展，也就是有一个绝妙的盘整底背驰让你重新介入。这样，利用分型搞了一个美妙的短差，又不浪费其后的走势，这就是一个比较及格的操作了。这操作，其实我们都经历过，就是上海周线</w:t>
      </w:r>
      <w:smartTag w:uri="urn:schemas-microsoft-com:office:smarttags" w:element="chsdate">
        <w:smartTagPr>
          <w:attr w:name="Year" w:val="2014"/>
          <w:attr w:name="Month" w:val="9"/>
          <w:attr w:name="Day" w:val="7"/>
          <w:attr w:name="IsLunarDate" w:val="False"/>
          <w:attr w:name="IsROCDate" w:val="False"/>
        </w:smartTagPr>
        <w:r w:rsidRPr="006B53C8">
          <w:rPr>
            <w:rFonts w:ascii="微软雅黑" w:eastAsia="微软雅黑" w:hAnsi="微软雅黑" w:hint="eastAsia"/>
            <w:bCs/>
            <w:color w:val="800000"/>
          </w:rPr>
          <w:t>9月7日</w:t>
        </w:r>
      </w:smartTag>
      <w:r w:rsidRPr="006B53C8">
        <w:rPr>
          <w:rFonts w:ascii="微软雅黑" w:eastAsia="微软雅黑" w:hAnsi="微软雅黑" w:hint="eastAsia"/>
          <w:bCs/>
          <w:color w:val="800000"/>
        </w:rPr>
        <w:t>前后那个顶分型的操作，一个完美的中继顶分型，在假跌破5周均线以及相应小级别的背驰的共同作用下完成。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    注意，利用分型，例如顶分型，卖了以后一定要注意是否要回补，如果一旦确认是中继的，应该回补，否则就等着笔完成再说。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bCs/>
          <w:color w:val="800000"/>
        </w:rPr>
        <w:t>但一定要注意，中继顶分型后，如果其后的走势在相应小级别出现背驰或盘整背驰，那么下一顶分型，是中继的可能性将大幅度减少。中继分型，有点类似刹车，一次不一定完全刹住，但第一刹车后如果车速已明显减慢，证明刹车系统是有效的，那么第二次刹住的机会就极大了，除非你踩错，一脚到油门上去了。</w:t>
      </w:r>
      <w:r w:rsidRPr="006B53C8">
        <w:rPr>
          <w:rFonts w:ascii="微软雅黑" w:eastAsia="微软雅黑" w:hAnsi="微软雅黑" w:hint="eastAsia"/>
          <w:bCs/>
          <w:color w:val="800000"/>
        </w:rPr>
        <w:br/>
        <w:t> 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七、各种上涨、下跌图谱：</w:t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（</w:t>
      </w:r>
      <w:r w:rsidRPr="006B53C8">
        <w:rPr>
          <w:rFonts w:ascii="微软雅黑" w:eastAsia="微软雅黑" w:hAnsi="微软雅黑" w:cs="Times New Roman" w:hint="eastAsia"/>
          <w:color w:val="000000"/>
        </w:rPr>
        <w:t>1</w:t>
      </w:r>
      <w:r w:rsidRPr="006B53C8">
        <w:rPr>
          <w:rFonts w:ascii="微软雅黑" w:eastAsia="微软雅黑" w:hAnsi="微软雅黑" w:hint="eastAsia"/>
          <w:color w:val="000000"/>
        </w:rPr>
        <w:t>）、</w:t>
      </w:r>
      <w:r w:rsidRPr="006B53C8">
        <w:rPr>
          <w:rFonts w:ascii="微软雅黑" w:eastAsia="微软雅黑" w:hAnsi="微软雅黑" w:cs="Times New Roman" w:hint="eastAsia"/>
          <w:color w:val="000000"/>
        </w:rPr>
        <w:t>9</w:t>
      </w:r>
      <w:r w:rsidRPr="006B53C8">
        <w:rPr>
          <w:rFonts w:ascii="微软雅黑" w:eastAsia="微软雅黑" w:hAnsi="微软雅黑" w:hint="eastAsia"/>
          <w:color w:val="000000"/>
        </w:rPr>
        <w:t>段上涨走势的图谱：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lastRenderedPageBreak/>
        <w:drawing>
          <wp:inline distT="0" distB="0" distL="0" distR="0">
            <wp:extent cx="6447632" cy="4345016"/>
            <wp:effectExtent l="0" t="0" r="0" b="0"/>
            <wp:docPr id="24" name="图片 24" descr="dLW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LWhE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562" cy="4353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pStyle w:val="a5"/>
        <w:spacing w:before="0" w:beforeAutospacing="0" w:after="0" w:afterAutospacing="0" w:line="238" w:lineRule="atLeast"/>
        <w:jc w:val="both"/>
        <w:rPr>
          <w:rFonts w:ascii="微软雅黑" w:eastAsia="微软雅黑" w:hAnsi="微软雅黑"/>
          <w:color w:val="000000"/>
        </w:rPr>
      </w:pPr>
      <w:r w:rsidRPr="006B53C8">
        <w:rPr>
          <w:rFonts w:ascii="微软雅黑" w:eastAsia="微软雅黑" w:hAnsi="微软雅黑" w:hint="eastAsia"/>
          <w:color w:val="000000"/>
        </w:rPr>
        <w:t>（</w:t>
      </w:r>
      <w:r w:rsidRPr="006B53C8">
        <w:rPr>
          <w:rFonts w:ascii="微软雅黑" w:eastAsia="微软雅黑" w:hAnsi="微软雅黑" w:cs="Times New Roman" w:hint="eastAsia"/>
          <w:color w:val="000000"/>
        </w:rPr>
        <w:t>2</w:t>
      </w:r>
      <w:r w:rsidRPr="006B53C8">
        <w:rPr>
          <w:rFonts w:ascii="微软雅黑" w:eastAsia="微软雅黑" w:hAnsi="微软雅黑" w:hint="eastAsia"/>
          <w:color w:val="000000"/>
        </w:rPr>
        <w:t>）、</w:t>
      </w:r>
      <w:r w:rsidRPr="006B53C8">
        <w:rPr>
          <w:rFonts w:ascii="微软雅黑" w:eastAsia="微软雅黑" w:hAnsi="微软雅黑" w:cs="Times New Roman" w:hint="eastAsia"/>
          <w:color w:val="000000"/>
        </w:rPr>
        <w:t>9</w:t>
      </w:r>
      <w:r w:rsidRPr="006B53C8">
        <w:rPr>
          <w:rFonts w:ascii="微软雅黑" w:eastAsia="微软雅黑" w:hAnsi="微软雅黑" w:hint="eastAsia"/>
          <w:color w:val="000000"/>
        </w:rPr>
        <w:t>段下跌走势图谱：</w:t>
      </w:r>
    </w:p>
    <w:p w:rsidR="00CE0AE1" w:rsidRPr="006B53C8" w:rsidRDefault="00CE0AE1" w:rsidP="00CE0AE1">
      <w:pPr>
        <w:spacing w:line="238" w:lineRule="atLeast"/>
        <w:rPr>
          <w:rFonts w:ascii="微软雅黑" w:eastAsia="微软雅黑" w:hAnsi="微软雅黑"/>
          <w:color w:val="000000"/>
          <w:sz w:val="24"/>
        </w:rPr>
      </w:pPr>
      <w:r w:rsidRPr="006B53C8">
        <w:rPr>
          <w:rFonts w:ascii="微软雅黑" w:eastAsia="微软雅黑" w:hAnsi="微软雅黑"/>
          <w:noProof/>
          <w:color w:val="000000"/>
          <w:sz w:val="24"/>
        </w:rPr>
        <w:drawing>
          <wp:inline distT="0" distB="0" distL="0" distR="0">
            <wp:extent cx="6440170" cy="4311250"/>
            <wp:effectExtent l="0" t="0" r="0" b="0"/>
            <wp:docPr id="25" name="图片 25" descr="dFo2rulnDgAA&amp;ek=1&amp;kp=1&amp;pt=0&amp;bo=ZANFAgAAAAABAAc!&amp;t=5&amp;su=0136562833&amp;sce=0-12-12&amp;rf=2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Fo2rulnDgAA&amp;ek=1&amp;kp=1&amp;pt=0&amp;bo=ZANFAgAAAAABAAc!&amp;t=5&amp;su=0136562833&amp;sce=0-12-12&amp;rf=2-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258" cy="4316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AE1" w:rsidRPr="006B53C8" w:rsidRDefault="00CE0AE1" w:rsidP="00CE0AE1">
      <w:pPr>
        <w:rPr>
          <w:rFonts w:ascii="微软雅黑" w:eastAsia="微软雅黑" w:hAnsi="微软雅黑"/>
          <w:sz w:val="24"/>
        </w:rPr>
      </w:pPr>
      <w:r w:rsidRPr="006B53C8">
        <w:rPr>
          <w:rFonts w:ascii="微软雅黑" w:eastAsia="微软雅黑" w:hAnsi="微软雅黑" w:hint="eastAsia"/>
          <w:bCs/>
          <w:color w:val="800000"/>
          <w:sz w:val="24"/>
        </w:rPr>
        <w:lastRenderedPageBreak/>
        <w:t>此方法只试用于益盟软件（无论何版本）的该公式下操作，如果利用其它软件做上述案例请慎用；</w:t>
      </w:r>
    </w:p>
    <w:p w:rsidR="009015B8" w:rsidRPr="006B53C8" w:rsidRDefault="009015B8">
      <w:pPr>
        <w:rPr>
          <w:rFonts w:ascii="微软雅黑" w:eastAsia="微软雅黑" w:hAnsi="微软雅黑"/>
          <w:sz w:val="24"/>
        </w:rPr>
      </w:pPr>
    </w:p>
    <w:sectPr w:rsidR="009015B8" w:rsidRPr="006B53C8" w:rsidSect="00C430E9">
      <w:headerReference w:type="even" r:id="rId31"/>
      <w:headerReference w:type="first" r:id="rId32"/>
      <w:pgSz w:w="11906" w:h="16838"/>
      <w:pgMar w:top="1134" w:right="851" w:bottom="851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95A" w:rsidRDefault="00C7495A" w:rsidP="00CE0AE1">
      <w:r>
        <w:separator/>
      </w:r>
    </w:p>
  </w:endnote>
  <w:endnote w:type="continuationSeparator" w:id="0">
    <w:p w:rsidR="00C7495A" w:rsidRDefault="00C7495A" w:rsidP="00CE0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95A" w:rsidRDefault="00C7495A" w:rsidP="00CE0AE1">
      <w:r>
        <w:separator/>
      </w:r>
    </w:p>
  </w:footnote>
  <w:footnote w:type="continuationSeparator" w:id="0">
    <w:p w:rsidR="00C7495A" w:rsidRDefault="00C7495A" w:rsidP="00CE0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723" w:rsidRDefault="00C7495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left:0;text-align:left;margin-left:0;margin-top:0;width:566.85pt;height:29.05pt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教你炒股票 QQ群:111936956 QQ:24017015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723" w:rsidRDefault="00C7495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0;margin-top:0;width:566.85pt;height:29.05pt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教你炒股票 QQ群:111936956 QQ:2401701580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E0AE1"/>
    <w:rsid w:val="006B53C8"/>
    <w:rsid w:val="009015B8"/>
    <w:rsid w:val="00C40A76"/>
    <w:rsid w:val="00C430E9"/>
    <w:rsid w:val="00C7495A"/>
    <w:rsid w:val="00CE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1"/>
    <o:shapelayout v:ext="edit">
      <o:idmap v:ext="edit" data="1"/>
    </o:shapelayout>
  </w:shapeDefaults>
  <w:decimalSymbol w:val="."/>
  <w:listSeparator w:val=","/>
  <w15:docId w15:val="{7F033A23-6BDF-43F6-9DB2-EFAE368EB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AE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CE0A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E0AE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E0AE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E0AE1"/>
    <w:rPr>
      <w:sz w:val="18"/>
      <w:szCs w:val="18"/>
    </w:rPr>
  </w:style>
  <w:style w:type="paragraph" w:styleId="a5">
    <w:name w:val="Normal (Web)"/>
    <w:basedOn w:val="a"/>
    <w:rsid w:val="00CE0AE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6">
    <w:name w:val="Balloon Text"/>
    <w:basedOn w:val="a"/>
    <w:link w:val="Char1"/>
    <w:uiPriority w:val="99"/>
    <w:semiHidden/>
    <w:unhideWhenUsed/>
    <w:rsid w:val="00CE0AE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0AE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437</Words>
  <Characters>2491</Characters>
  <Application>Microsoft Office Word</Application>
  <DocSecurity>0</DocSecurity>
  <Lines>20</Lines>
  <Paragraphs>5</Paragraphs>
  <ScaleCrop>false</ScaleCrop>
  <Company>Lenovo</Company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MTZ</dc:creator>
  <cp:keywords/>
  <dc:description/>
  <cp:lastModifiedBy>HP</cp:lastModifiedBy>
  <cp:revision>4</cp:revision>
  <dcterms:created xsi:type="dcterms:W3CDTF">2015-07-24T06:23:00Z</dcterms:created>
  <dcterms:modified xsi:type="dcterms:W3CDTF">2015-07-24T16:10:00Z</dcterms:modified>
</cp:coreProperties>
</file>